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Times New Roman"/>
          <w:b/>
          <w:sz w:val="32"/>
          <w:szCs w:val="32"/>
        </w:rPr>
      </w:pPr>
      <w:r>
        <w:rPr>
          <w:rFonts w:hint="eastAsia" w:ascii="仿宋" w:hAnsi="仿宋" w:eastAsia="仿宋" w:cs="Times New Roman"/>
          <w:b/>
          <w:sz w:val="32"/>
          <w:szCs w:val="32"/>
        </w:rPr>
        <w:t>贵州大学</w:t>
      </w:r>
    </w:p>
    <w:p>
      <w:pPr>
        <w:jc w:val="center"/>
        <w:rPr>
          <w:rFonts w:ascii="仿宋" w:hAnsi="仿宋" w:eastAsia="仿宋" w:cs="Times New Roman"/>
          <w:sz w:val="28"/>
          <w:szCs w:val="28"/>
        </w:rPr>
      </w:pPr>
      <w:r>
        <w:rPr>
          <w:rFonts w:hint="eastAsia" w:ascii="仿宋" w:hAnsi="仿宋" w:eastAsia="仿宋" w:cs="Times New Roman"/>
          <w:b/>
          <w:sz w:val="32"/>
          <w:szCs w:val="32"/>
        </w:rPr>
        <w:t>研究生学位（毕业）</w:t>
      </w:r>
      <w:r>
        <w:rPr>
          <w:rFonts w:ascii="仿宋" w:hAnsi="仿宋" w:eastAsia="仿宋" w:cs="Times New Roman"/>
          <w:b/>
          <w:sz w:val="32"/>
          <w:szCs w:val="32"/>
        </w:rPr>
        <w:t>论文线上答辩公告</w:t>
      </w: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贵州职业技术学院辅导员转岗现状分析及对策思考</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周秀芬</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2017021383</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龙异</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贵州省脱贫攻坚时期干部下沉模式的地方经验研究——以贵州省贵定县为例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张杰</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2017021368</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罗筠</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利益相关者视角下贵阳市惠民生鲜超市体系建设项目协同治理路径研究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韩兰兰</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2017021191</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聂焱</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山东省滕州市农村高中教师队伍建设问题研究——以滕州B学校为例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郝亚宪</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2017021193</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吴次南</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大数据背景下贵阳市社会保险信息化研究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何沂芳</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2017021195</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王微</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基于SERVQUAL理论下的数字化校园服务效果评估——以遵义医科大学为例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何悦</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2017021196</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张红春</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贵阳市土地执法监察机制研究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贺小波</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2017021198</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汪霞</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网络舆论对公职人员行为的监督作用研究——以人肉搜索现象为例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李婉君</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2017021225</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黄其松</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hint="eastAsia" w:ascii="仿宋" w:hAnsi="仿宋" w:eastAsia="仿宋" w:cs="Times New Roman"/>
          <w:sz w:val="28"/>
          <w:szCs w:val="28"/>
        </w:rPr>
      </w:pPr>
    </w:p>
    <w:p>
      <w:pPr>
        <w:spacing w:line="400" w:lineRule="exact"/>
        <w:rPr>
          <w:rFonts w:hint="eastAsia" w:ascii="仿宋" w:hAnsi="仿宋" w:eastAsia="仿宋" w:cs="Times New Roman"/>
          <w:sz w:val="28"/>
          <w:szCs w:val="28"/>
        </w:rPr>
      </w:pPr>
    </w:p>
    <w:p>
      <w:pPr>
        <w:spacing w:line="400" w:lineRule="exact"/>
        <w:rPr>
          <w:rFonts w:hint="eastAsia" w:ascii="仿宋" w:hAnsi="仿宋" w:eastAsia="仿宋" w:cs="Times New Roman"/>
          <w:sz w:val="28"/>
          <w:szCs w:val="28"/>
        </w:rPr>
      </w:pPr>
    </w:p>
    <w:p>
      <w:pPr>
        <w:spacing w:line="400" w:lineRule="exact"/>
        <w:rPr>
          <w:rFonts w:hint="eastAsia" w:ascii="仿宋" w:hAnsi="仿宋" w:eastAsia="仿宋" w:cs="Times New Roman"/>
          <w:sz w:val="28"/>
          <w:szCs w:val="28"/>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大数据背景下瓮安县中医院中药信息化管理研究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张桂鸿</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2017021366</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徐健</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贵州省C县地方政府性债务风险及管理措施研究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邹耀</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2017021391</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杨达</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ind w:firstLine="3654" w:firstLineChars="1300"/>
        <w:jc w:val="both"/>
        <w:rPr>
          <w:rFonts w:ascii="仿宋" w:hAnsi="仿宋" w:eastAsia="仿宋" w:cs="Times New Roman"/>
          <w:b/>
          <w:bCs/>
          <w:sz w:val="28"/>
          <w:szCs w:val="28"/>
        </w:rPr>
      </w:pPr>
      <w:r>
        <w:rPr>
          <w:rFonts w:hint="eastAsia" w:ascii="仿宋" w:hAnsi="仿宋" w:eastAsia="仿宋" w:cs="Times New Roman"/>
          <w:b/>
          <w:bCs/>
          <w:sz w:val="28"/>
          <w:szCs w:val="28"/>
        </w:rPr>
        <w:t>答辩委员会</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姓名</w:t>
            </w: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职称</w:t>
            </w: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主席</w:t>
            </w:r>
          </w:p>
        </w:tc>
        <w:tc>
          <w:tcPr>
            <w:tcW w:w="2074" w:type="dxa"/>
            <w:vAlign w:val="center"/>
          </w:tcPr>
          <w:p>
            <w:pPr>
              <w:jc w:val="center"/>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汪磊</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教授</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贵州大学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restart"/>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委员</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安志放</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副教授</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贵州大学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张领</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教授</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贵州财经大学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r>
    </w:tbl>
    <w:p>
      <w:pPr>
        <w:spacing w:before="312" w:beforeLines="100" w:line="400" w:lineRule="exact"/>
        <w:rPr>
          <w:rFonts w:ascii="仿宋" w:hAnsi="仿宋" w:eastAsia="仿宋" w:cs="Times New Roman"/>
          <w:bCs/>
          <w:sz w:val="28"/>
          <w:szCs w:val="28"/>
          <w:u w:val="single"/>
        </w:rPr>
      </w:pPr>
      <w:r>
        <w:rPr>
          <w:rFonts w:ascii="仿宋" w:hAnsi="仿宋" w:eastAsia="仿宋" w:cs="Times New Roman"/>
          <w:bCs/>
          <w:sz w:val="28"/>
          <w:szCs w:val="28"/>
        </w:rPr>
        <w:t>答辩秘书：</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李凌霞</w:t>
      </w:r>
      <w:r>
        <w:rPr>
          <w:rFonts w:ascii="仿宋" w:hAnsi="仿宋" w:eastAsia="仿宋" w:cs="Times New Roman"/>
          <w:bCs/>
          <w:sz w:val="28"/>
          <w:szCs w:val="28"/>
          <w:u w:val="single"/>
        </w:rPr>
        <w:t xml:space="preserve">            </w:t>
      </w:r>
      <w:r>
        <w:rPr>
          <w:rFonts w:hint="eastAsia" w:ascii="仿宋" w:hAnsi="仿宋" w:eastAsia="仿宋" w:cs="Times New Roman"/>
          <w:bCs/>
          <w:sz w:val="28"/>
          <w:szCs w:val="28"/>
        </w:rPr>
        <w:t xml:space="preserve"> </w:t>
      </w:r>
      <w:r>
        <w:rPr>
          <w:rFonts w:ascii="仿宋" w:hAnsi="仿宋" w:eastAsia="仿宋" w:cs="Times New Roman"/>
          <w:bCs/>
          <w:sz w:val="28"/>
          <w:szCs w:val="28"/>
        </w:rPr>
        <w:t xml:space="preserve">   监督教师：</w:t>
      </w:r>
      <w:r>
        <w:rPr>
          <w:rFonts w:hint="eastAsia" w:ascii="仿宋" w:hAnsi="仿宋" w:eastAsia="仿宋" w:cs="Times New Roman"/>
          <w:bCs/>
          <w:sz w:val="28"/>
          <w:szCs w:val="28"/>
          <w:u w:val="single"/>
        </w:rPr>
        <w:t xml:space="preserve"> 庄勇 崔永霞</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答辩时间：</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2020</w:t>
      </w:r>
      <w:r>
        <w:rPr>
          <w:rFonts w:hint="eastAsia" w:ascii="仿宋" w:hAnsi="仿宋" w:eastAsia="仿宋" w:cs="Times New Roman"/>
          <w:bCs/>
          <w:sz w:val="28"/>
          <w:szCs w:val="28"/>
          <w:u w:val="single"/>
        </w:rPr>
        <w:t>年6月</w:t>
      </w:r>
      <w:r>
        <w:rPr>
          <w:rFonts w:hint="eastAsia" w:ascii="仿宋" w:hAnsi="仿宋" w:eastAsia="仿宋" w:cs="Times New Roman"/>
          <w:bCs/>
          <w:sz w:val="28"/>
          <w:szCs w:val="28"/>
          <w:u w:val="single"/>
          <w:lang w:val="en-US" w:eastAsia="zh-CN"/>
        </w:rPr>
        <w:t>9</w:t>
      </w:r>
      <w:r>
        <w:rPr>
          <w:rFonts w:hint="eastAsia" w:ascii="仿宋" w:hAnsi="仿宋" w:eastAsia="仿宋" w:cs="Times New Roman"/>
          <w:bCs/>
          <w:sz w:val="28"/>
          <w:szCs w:val="28"/>
          <w:u w:val="single"/>
        </w:rPr>
        <w:t>日</w:t>
      </w:r>
      <w:r>
        <w:rPr>
          <w:rFonts w:hint="eastAsia" w:ascii="仿宋" w:hAnsi="仿宋" w:eastAsia="仿宋" w:cs="Times New Roman"/>
          <w:bCs/>
          <w:sz w:val="28"/>
          <w:szCs w:val="28"/>
          <w:u w:val="single"/>
          <w:lang w:val="en-US" w:eastAsia="zh-CN"/>
        </w:rPr>
        <w:t>8</w:t>
      </w:r>
      <w:r>
        <w:rPr>
          <w:rFonts w:hint="eastAsia" w:ascii="仿宋" w:hAnsi="仿宋" w:eastAsia="仿宋" w:cs="Times New Roman"/>
          <w:bCs/>
          <w:sz w:val="28"/>
          <w:szCs w:val="28"/>
          <w:u w:val="single"/>
        </w:rPr>
        <w:t>:</w:t>
      </w:r>
      <w:r>
        <w:rPr>
          <w:rFonts w:hint="eastAsia" w:ascii="仿宋" w:hAnsi="仿宋" w:eastAsia="仿宋" w:cs="Times New Roman"/>
          <w:bCs/>
          <w:sz w:val="28"/>
          <w:szCs w:val="28"/>
          <w:u w:val="single"/>
          <w:lang w:val="en-US" w:eastAsia="zh-CN"/>
        </w:rPr>
        <w:t>3</w:t>
      </w:r>
      <w:r>
        <w:rPr>
          <w:rFonts w:ascii="仿宋" w:hAnsi="仿宋" w:eastAsia="仿宋" w:cs="Times New Roman"/>
          <w:bCs/>
          <w:sz w:val="28"/>
          <w:szCs w:val="28"/>
          <w:u w:val="single"/>
        </w:rPr>
        <w:t>0</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hint="eastAsia" w:ascii="仿宋" w:hAnsi="仿宋" w:eastAsia="仿宋" w:cs="Times New Roman"/>
          <w:b/>
          <w:sz w:val="28"/>
          <w:szCs w:val="28"/>
          <w:lang w:val="en-US" w:eastAsia="zh-CN"/>
        </w:rPr>
      </w:pPr>
      <w:r>
        <w:rPr>
          <w:rFonts w:ascii="仿宋" w:hAnsi="仿宋" w:eastAsia="仿宋" w:cs="Times New Roman"/>
          <w:bCs/>
          <w:sz w:val="28"/>
          <w:szCs w:val="28"/>
        </w:rPr>
        <w:t>答辩将在</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腾讯会议</w:t>
      </w:r>
      <w:r>
        <w:rPr>
          <w:rFonts w:hint="eastAsia" w:ascii="仿宋" w:hAnsi="仿宋" w:eastAsia="仿宋" w:cs="Times New Roman"/>
          <w:b/>
          <w:bCs/>
          <w:sz w:val="28"/>
          <w:szCs w:val="28"/>
          <w:u w:val="single"/>
        </w:rPr>
        <w:t>（2020年6月9日</w:t>
      </w:r>
      <w:r>
        <w:rPr>
          <w:rFonts w:ascii="仿宋" w:hAnsi="仿宋" w:eastAsia="仿宋"/>
          <w:b/>
          <w:sz w:val="28"/>
          <w:szCs w:val="28"/>
          <w:u w:val="single"/>
        </w:rPr>
        <w:t>贵州大学公共管理学院2017级</w:t>
      </w:r>
      <w:r>
        <w:rPr>
          <w:rFonts w:hint="eastAsia" w:ascii="仿宋" w:hAnsi="仿宋" w:eastAsia="仿宋"/>
          <w:b/>
          <w:sz w:val="28"/>
          <w:szCs w:val="28"/>
          <w:u w:val="single"/>
        </w:rPr>
        <w:t>MPA</w:t>
      </w:r>
      <w:r>
        <w:rPr>
          <w:rFonts w:ascii="仿宋" w:hAnsi="仿宋" w:eastAsia="仿宋"/>
          <w:b/>
          <w:sz w:val="28"/>
          <w:szCs w:val="28"/>
          <w:u w:val="single"/>
        </w:rPr>
        <w:t>研究生毕业论文答辩</w:t>
      </w:r>
      <w:r>
        <w:rPr>
          <w:rFonts w:hint="eastAsia" w:ascii="仿宋" w:hAnsi="仿宋" w:eastAsia="仿宋"/>
          <w:b/>
          <w:sz w:val="28"/>
          <w:szCs w:val="28"/>
          <w:u w:val="single"/>
          <w:lang w:val="en-US" w:eastAsia="zh-CN"/>
        </w:rPr>
        <w:t xml:space="preserve"> </w:t>
      </w:r>
      <w:r>
        <w:rPr>
          <w:rFonts w:hint="eastAsia" w:ascii="仿宋" w:hAnsi="仿宋" w:eastAsia="仿宋"/>
          <w:b/>
          <w:sz w:val="28"/>
          <w:szCs w:val="28"/>
          <w:u w:val="single"/>
        </w:rPr>
        <w:t>第</w:t>
      </w:r>
      <w:r>
        <w:rPr>
          <w:rFonts w:hint="eastAsia" w:ascii="仿宋" w:hAnsi="仿宋" w:eastAsia="仿宋"/>
          <w:b/>
          <w:sz w:val="28"/>
          <w:szCs w:val="28"/>
          <w:u w:val="single"/>
          <w:lang w:val="en-US" w:eastAsia="zh-CN"/>
        </w:rPr>
        <w:t>五</w:t>
      </w:r>
      <w:r>
        <w:rPr>
          <w:rFonts w:hint="eastAsia" w:ascii="仿宋" w:hAnsi="仿宋" w:eastAsia="仿宋"/>
          <w:b/>
          <w:sz w:val="28"/>
          <w:szCs w:val="28"/>
          <w:u w:val="single"/>
        </w:rPr>
        <w:t>组）</w:t>
      </w:r>
      <w:r>
        <w:rPr>
          <w:rFonts w:ascii="仿宋" w:hAnsi="仿宋" w:eastAsia="仿宋" w:cs="Times New Roman"/>
          <w:bCs/>
          <w:sz w:val="28"/>
          <w:szCs w:val="28"/>
        </w:rPr>
        <w:t>平台进行线上</w:t>
      </w:r>
      <w:r>
        <w:rPr>
          <w:rFonts w:hint="eastAsia" w:ascii="仿宋" w:hAnsi="仿宋" w:eastAsia="仿宋" w:cs="Times New Roman"/>
          <w:bCs/>
          <w:sz w:val="28"/>
          <w:szCs w:val="28"/>
          <w:lang w:val="en-US" w:eastAsia="zh-CN"/>
        </w:rPr>
        <w:t>答辩。</w:t>
      </w:r>
    </w:p>
    <w:p>
      <w:pPr>
        <w:spacing w:line="400" w:lineRule="exact"/>
        <w:rPr>
          <w:rFonts w:ascii="仿宋" w:hAnsi="仿宋" w:eastAsia="仿宋" w:cs="Times New Roman"/>
          <w:b/>
          <w:sz w:val="28"/>
          <w:szCs w:val="28"/>
        </w:rPr>
      </w:pPr>
    </w:p>
    <w:p>
      <w:pPr>
        <w:spacing w:line="400" w:lineRule="exact"/>
        <w:rPr>
          <w:rFonts w:ascii="仿宋" w:hAnsi="仿宋" w:eastAsia="仿宋" w:cs="Times New Roman"/>
          <w:b/>
        </w:rPr>
      </w:pPr>
      <w:r>
        <w:rPr>
          <w:rFonts w:ascii="仿宋" w:hAnsi="仿宋" w:eastAsia="仿宋" w:cs="Times New Roman"/>
          <w:b/>
          <w:sz w:val="28"/>
          <w:szCs w:val="28"/>
        </w:rPr>
        <w:t>欢迎广大师生指导！</w:t>
      </w:r>
    </w:p>
    <w:p>
      <w:pPr>
        <w:rPr>
          <w:rFonts w:ascii="仿宋" w:hAnsi="仿宋" w:eastAsia="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5A"/>
    <w:rsid w:val="000B02F2"/>
    <w:rsid w:val="001807C8"/>
    <w:rsid w:val="00202912"/>
    <w:rsid w:val="00291BEA"/>
    <w:rsid w:val="00320594"/>
    <w:rsid w:val="00327E1A"/>
    <w:rsid w:val="003B3FE6"/>
    <w:rsid w:val="003F7F33"/>
    <w:rsid w:val="005120BA"/>
    <w:rsid w:val="005240FA"/>
    <w:rsid w:val="0053769F"/>
    <w:rsid w:val="005B5F9B"/>
    <w:rsid w:val="005C495A"/>
    <w:rsid w:val="005F4B5F"/>
    <w:rsid w:val="00611396"/>
    <w:rsid w:val="00612906"/>
    <w:rsid w:val="006737E4"/>
    <w:rsid w:val="007C4B14"/>
    <w:rsid w:val="00887087"/>
    <w:rsid w:val="00944BB8"/>
    <w:rsid w:val="00963B45"/>
    <w:rsid w:val="00AF2594"/>
    <w:rsid w:val="00B45B00"/>
    <w:rsid w:val="00B734C5"/>
    <w:rsid w:val="00BF6221"/>
    <w:rsid w:val="00C05A2E"/>
    <w:rsid w:val="00C60361"/>
    <w:rsid w:val="00D21A02"/>
    <w:rsid w:val="00D324AA"/>
    <w:rsid w:val="00DB31EE"/>
    <w:rsid w:val="00E05655"/>
    <w:rsid w:val="00E55466"/>
    <w:rsid w:val="00E82DD2"/>
    <w:rsid w:val="00E9099E"/>
    <w:rsid w:val="00FA27BE"/>
    <w:rsid w:val="10CF4C58"/>
    <w:rsid w:val="2020080F"/>
    <w:rsid w:val="3CA73044"/>
    <w:rsid w:val="41FE49A7"/>
    <w:rsid w:val="4DC14845"/>
    <w:rsid w:val="4F0E5906"/>
    <w:rsid w:val="5C970A3C"/>
    <w:rsid w:val="6A5C2DEE"/>
    <w:rsid w:val="73A92211"/>
    <w:rsid w:val="7B66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semiHidden/>
    <w:unhideWhenUsed/>
    <w:qFormat/>
    <w:uiPriority w:val="99"/>
    <w:rPr>
      <w:color w:val="0000FF"/>
      <w:u w:val="single"/>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128</Words>
  <Characters>733</Characters>
  <Lines>6</Lines>
  <Paragraphs>1</Paragraphs>
  <TotalTime>9</TotalTime>
  <ScaleCrop>false</ScaleCrop>
  <LinksUpToDate>false</LinksUpToDate>
  <CharactersWithSpaces>860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2020-05-26T08:14:00Z</dcterms:created>
  <dc:creator>Hanry Ma</dc:creator>
  <cp:lastModifiedBy>admin</cp:lastModifiedBy>
  <dcterms:modified xsi:type="dcterms:W3CDTF">2020-06-02T03:13:25Z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